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Knivsta kommunfullmäktige</w:t>
      </w:r>
    </w:p>
    <w:p>
      <w:pPr>
        <w:pStyle w:val="Heading1"/>
      </w:pPr>
      <w:r>
        <w:t xml:space="preserve">Höjda skolresultat genom fler lärare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Knivsta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Knivstas meritvärde i årskurs 9 ligger under rikssnittet (Kolada 2024). Alsike skola har särskilt låga resultat. Fler behöriga lärare och mindre klasser är avgörande för likvärdig skola.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Knivsta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öka antalet legitimerade lärare med 12 heltidstjänster under mandatperioden.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införa en maxgräns på 25 elever per klass i årskurs 1–6.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avsätta extra resurser till skolor i områden med lägre socioekonomisk status.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följa upp meritvärde och lärartäthet årligen i fullmäktige.</w:t>
      </w:r>
    </w:p>
    <w:p>
      <w:pPr>
        <w:spacing w:before="360"/>
      </w:pPr>
    </w:p>
    <w:p>
      <w:r>
        <w:t xml:space="preserve">Knivsta,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Knivsta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2026-07-14T00:28:33.787Z</dcterms:created>
  <dcterms:modified xsi:type="dcterms:W3CDTF">2026-07-14T00:28:33.787Z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